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4620"/>
        </w:tabs>
        <w:spacing w:line="312" w:lineRule="auto"/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bookmarkStart w:id="2" w:name="_GoBack"/>
      <w:bookmarkEnd w:id="2"/>
      <w:bookmarkStart w:id="0" w:name="_Toc57882083"/>
      <w:bookmarkStart w:id="1" w:name="_Toc57882054"/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第16课　中国赋税制度的演变</w:t>
      </w:r>
      <w:bookmarkEnd w:id="0"/>
      <w:bookmarkEnd w:id="1"/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drawing>
          <wp:inline distT="0" distB="0" distL="114300" distR="114300">
            <wp:extent cx="1383665" cy="288290"/>
            <wp:effectExtent l="0" t="0" r="6985" b="16510"/>
            <wp:docPr id="95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88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drawing>
          <wp:inline distT="0" distB="0" distL="114300" distR="114300">
            <wp:extent cx="5324475" cy="1315720"/>
            <wp:effectExtent l="0" t="0" r="9525" b="17780"/>
            <wp:docPr id="88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tabs>
          <w:tab w:val="left" w:pos="4620"/>
        </w:tabs>
        <w:spacing w:line="312" w:lineRule="auto"/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drawing>
          <wp:inline distT="0" distB="0" distL="114300" distR="114300">
            <wp:extent cx="5331460" cy="574675"/>
            <wp:effectExtent l="0" t="0" r="2540" b="15875"/>
            <wp:docPr id="93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0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146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drawing>
          <wp:inline distT="0" distB="0" distL="114300" distR="114300">
            <wp:extent cx="3110230" cy="251460"/>
            <wp:effectExtent l="0" t="0" r="13970" b="15240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1023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一　中国古代的赋役制度  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1．秦汉时期：秦汉时的赋役，大致包括三部分：田赋、人头税和徭役。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(1)田赋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①秦朝：田赋税率极高，史称“收泰半之赋”，也就是要缴纳田地产量的三分之二作为田赋。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②汉初：统治者采取“与民休息”的政策，田赋税率大大降低。汉高祖实行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十五税一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的税率，到汉景帝的时候改为三十税一。 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(2)人头税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①秦朝：向人民征收极重的口赋。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②汉朝：人头税分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口赋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、算赋，汉朝还征收财产税。 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(3)徭役：秦汉徭役有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更卒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、正卒、戍卒三种。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①更卒徭役的法定服务期限是一个月，服役地点是在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本郡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或本县，承担修筑城垣、道路、河渠、宫室、陵寝，以及运输粮食等繁重劳动。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②正卒是指到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郡国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和京城服兵役，役期一般是两年。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③戍卒是指到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边塞屯戍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，役期一般是一年。 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2．隋唐时期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(1)隋朝：废除了前代许多苛捐杂税，主要向民众征收租调役。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(2)唐朝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①租庸调制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A．内容：针对21—59岁之间的成年男子征收。租、调之外的役，可以用“庸”代替，即缴纳一定的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绢或布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来替代徭役。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B．基础：是国家向成年男子授田的均田制。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【特别提醒】以庸代役，保证了农业生产时间；由租调制到租庸调制的转变，标志着从劳役地租到实物地租转变，是我国古代赋税制度的重大改革。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②两税法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A．原因：唐朝中期，土地兼并导致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均田制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遭到破坏。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B．内容：780年，唐朝政府废除租庸调，改行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两税法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，以国家财政支出确定赋税总额，然后将总额分解到各地，按田亩征收地税，按人丁、资产征收户税，分夏、秋两次征收。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【特别提醒】两税法是赋税制度史上的转折点，它标志着征税标准由以人丁为主逐渐过渡到以土地财产多少为主，是我国赋税制度的重大变革和进步。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3．宋朝时期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(1)宋承唐制，征收两税，但附加税繁杂多变，往往超过正税数倍。宋朝除了征收类似唐朝的庸一样的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代役金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外， 还经常再派发各种徭役。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(2)因为徭役扰民严重，北宋中期王安石推行募役法，百姓缴纳免役钱、助役钱，官府募人代役。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4．元朝时期：基本上沿袭唐朝的租庸调与两税法，分别施行于北方和南方，在北方征丁税、地税，在南方征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夏税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、秋粮。但是，元朝在税粮外又有前朝没有过的“科差”。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5．明朝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(1)明初赋税分夏税、秋粮两次征收，所征主要是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米麦实物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。正统年间，江南部分税粮折银征收送赴北京，称“金花银”。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(2)一条鞭法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①背景：明朝后期随着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商品经济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的发展与白银流通量的增加，万历初年，张居正在全国推行一条鞭法。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②内容：一条鞭法实行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赋役合并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、一概折银，即不但赋税折银征收，而且役也改由丁、田共同承担，折成银两，统一征收。政府所需的役，由政府从税银中拿岀一部分统一雇人。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③地位：一条鞭法是中国赋役制度上的重大变革。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【特别提醒】“一条鞭法”适应了明中叶以来商品经济发展的需要，有利于农产品的商品化和资本主义萌芽的发展。它在一定程度上抑制了豪强的势力，相对减轻了农民负担，有利于生产的发展；由于大地主的反对，“一条鞭法”实行不久就被废止，但改用银两收税的办法却保留下来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6．清朝——摊丁入亩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(1)实行：康熙五十一年(1712年)，康熙帝规定以前一年的丁银作为定额，不再增加，称“滋生人丁，永不加赋”。雍正帝即位后，将这笔丁银分摊到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田赋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中，称“摊丁入亩”。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(2)影响：从此，在中国历史上存在了约2 000年的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人头税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彻底废除，国家对百姓的人身束缚进一步减弱。 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【特别提醒】摊丁入亩的实行，标志着延续了数千年的人头税被废除，表明封建国家对人民的人身控制松弛。相对减轻了无地、少地农民的负担，隐匿人口的现象减少，有利于社会生产的发展；农民有较大的人身自由，有利于商品经济和资本主义萌芽的发展；赋税规则的简化，有利于赋税征收，保证国家的财政收入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drawing>
          <wp:inline distT="0" distB="0" distL="114300" distR="114300">
            <wp:extent cx="3110230" cy="251460"/>
            <wp:effectExtent l="0" t="0" r="13970" b="1524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1023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二　关税与个人所得税制度的起源与演变  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1．关税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(1)含义：海关依据国家的关税政策、税法及进出口税则，代表国家对进出关境的物品征收的税，称为“关税”。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(2)历程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①出现：中国的关税最早出现在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西周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时期，当时货物通过边境的“关卡”就要被征税。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②关税制度的发展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A．鸦片战争以前，中国享有完全的关税自主权。鸦片战争后，中国开始丧失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关税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自主权。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B．在近代中国人民的反帝爱国斗争中，收回关税自主权成为一项重要任务。国民革命时期，中国共产党和中国国民党都明确提出废除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不平等条约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、要求关税自主的主张。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C．直到中华人民共和国成立，中国才真正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收回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关税自主权。新中国成立后不久，政务院就颁布了《中华人民共和国海关进出口税则》及其实施条例。这个税则及其实施条例是中华人民共和国第一部独立的专门的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海关税法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，统一了全国关税制度。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D．改革开放后，为适应新时期国家经济体制改革和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对外开放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政策的需要，国务院于1985年颁布了《中华人民共和国进出口关税条例》和《中华人民共和国海关进出口税则》，强化了关税制度的法制化建设。1987年，全国人大常委会通过了《中华人民共和国海关法》，国务院据此重新修订发布了关税条例，进一步完善了关税的基本制度，对国民经济发展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对外贸易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起到了重要促进作用。 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2．个人所得税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(1)含义：是以纳税人个人取得的各项应税所得为征收对象的一种税。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(2)历程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①我国的个人所得税制度起步于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民国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时期。1914年，北洋政府制定了所得税条例，其中包括征收个人所得税的内容，但并没有实施。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②1936年，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国民政府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公布了所得税暂行条例，随之开始征收个人所得税。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③新中国成立后，在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计划经济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体制下，没有征收个人所得税。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④1980年，全国人民代表大会通过了《中华人民共和国个人所得税法》，我国的个人所得税制度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正式确立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。此后，《中华人民共和国个人所得税法》经数次修订完善，愈加符合中国社会发展实际。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(3)作用：对调节个人收入和实现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社会稳定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发挥了积极作用。 </w:t>
      </w:r>
    </w:p>
    <w:p>
      <w:pPr>
        <w:pStyle w:val="6"/>
        <w:tabs>
          <w:tab w:val="left" w:pos="4620"/>
        </w:tabs>
        <w:spacing w:line="312" w:lineRule="auto"/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drawing>
          <wp:inline distT="0" distB="0" distL="114300" distR="114300">
            <wp:extent cx="982980" cy="277495"/>
            <wp:effectExtent l="0" t="0" r="7620" b="8255"/>
            <wp:docPr id="90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3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1．简述秦汉时期赋役制度的内容。 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1"/>
          <w:szCs w:val="21"/>
        </w:rPr>
        <w:t>提示：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秦汉时代的赋税，大致包括了三部分：田赋、人头税 (口赋、算赋)和徭役。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drawing>
          <wp:inline distT="0" distB="0" distL="114300" distR="114300">
            <wp:extent cx="254000" cy="254000"/>
            <wp:effectExtent l="0" t="0" r="12700" b="1270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2．简述租庸调制的内容。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1"/>
          <w:szCs w:val="21"/>
        </w:rPr>
        <w:t>提示：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租庸调针对21—59岁之间的成年男子征收。租、调之外的役，可以用“庸”代替，即缴纳一定的绢布来替代徭役。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3．简述两税法实行的原因和内容。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1"/>
          <w:szCs w:val="21"/>
        </w:rPr>
        <w:t>提示：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(1)原因：唐朝中期，土地兼并导致均田制破坏。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(2)内容：建中元年(780年)，唐朝政府废除租庸调，改行两税法，以国家财政支出确定赋税总额，然后将总额分解到各地，按田亩征收地税，按人丁、资产征收户税，分夏、秋两次征收。 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4．简述一条鞭法的背景、内容和地位。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1"/>
          <w:szCs w:val="21"/>
        </w:rPr>
        <w:t>提示：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(1)背景：随着明朝后期商品经济的发展与白银流通量的增加，万历初年，张居正在全国推行一条鞭法。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(2)内容：一条鞭法实行赋役合并、一概折银，即不但赋税折银征收，而且役也改由丁、田共同承担，折成银两，统一征收。政府所需的役，由政府从税银中拿岀一部分统一雇人。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(3)地位：一条鞭法上承唐朝两税法，下启清朝“摊丁入亩”，是中国赋役制度上的重大变革。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5．简述摊丁入亩的内容和影响。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1"/>
          <w:szCs w:val="21"/>
        </w:rPr>
        <w:t>提示：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(1)内容：康熙五十一年(1712年)，康熙帝规定以前一年的丁银作为定额，不再增加，称“盛世滋丁，永不加赋”。雍正帝即位后，将这笔丁银分摊到田赋中，称“摊丁入亩”。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(2)影响：从此，在中国历史上存在了约2 000年的人头税彻底废除，国家对百姓的人身束缚进一步减弱。 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6．简述中国关税制度发展的历程。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1"/>
          <w:szCs w:val="21"/>
        </w:rPr>
        <w:t>提示：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中国的关税最早出现在西周时期，当时货物通过边境的“关卡”就要被征税，这意味着关税的出现要远远早于海关机构的诞生。鸦片战争以前，中国享有完全的关税自主权。鸦片战争后，中国开始丧失关税自主权。直到中华人民共和国成立，中国人民才真正收回关税自主权。新中国成立后不久，统一了全国关税制度。改革开放后，进一步完善了关税的基本制度。 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7．简述我国的个人所得税制度发展的历程。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1"/>
          <w:szCs w:val="21"/>
        </w:rPr>
        <w:t>提示：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我国的个人所得税制度起步于民国时期。1914年，北洋政府制定了一个所得税条例，其中包括征收个人所得税的内容，但并没有实施。1936年，国民政府公布了一个所得税暂行条例，随之开始征收个人所得税。新中国成立以后，在计划经济体制下，没有征收个人所得税。1980年，我国的个人所得税制度正式确立。</w:t>
      </w:r>
    </w:p>
    <w:p>
      <w:pPr>
        <w:pStyle w:val="5"/>
        <w:tabs>
          <w:tab w:val="left" w:pos="4620"/>
        </w:tabs>
        <w:spacing w:line="312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drawing>
          <wp:inline distT="0" distB="0" distL="114300" distR="114300">
            <wp:extent cx="1499870" cy="359410"/>
            <wp:effectExtent l="0" t="0" r="5080" b="2540"/>
            <wp:docPr id="89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94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1．中国古代赋税制度分类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(1)以征税标准为依据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①以人丁为主要征税依据：“人头税”，即丁税。如明朝及以前的赋税制度。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②以土地和财产(田亩)为主要征税依据：土地税，即田租。如初税亩、唐两税法以后的赋税制度。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③以户为依据的财产税，即“户税”(调)。如北魏至唐朝的“调”。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另外，还有以成年男子为依据的徭役和兵役，以及其他杂税。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(2)以征收形式为依据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①征收实物税的赋税制度：明朝一条鞭法之前的赋税制度。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②征收货币的赋税制度：北宋募役法、明一条鞭法、清摊丁入亩。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2．中国古代赋税制度沿革的趋势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(1)征税标准由以人丁为主逐步向以土地财产为主转变(以两税法为标志)，直至取消人头税(以摊丁入亩为标志)，反映了封建国家对农民的人身控制逐渐松弛。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(2)赋税形式由实物为主到货币为主转变(以一条鞭法为标志)，反映了封建社会商品经济的发展。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(3)征税时间由不定时逐渐发展为基本定时(以两税法为标志)。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(4)税种由繁杂逐渐演变为简化(以一条鞭法为标志)。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(5)农民由必须服徭役逐渐发展为纳绢代役(以“庸”为标志)。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(6)国家重农抑商，对商品征收重税。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3．中国古代赋税制度变革的原因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(1)生产力和社会经济的发展。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(2)土地兼并严重，社会矛盾激化。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(3)稳定国家财政，调整政策。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4．中国古代赋税制度变革的影响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(1)赋税制度是调整国家、地主和农民的利益，有助于缓解社会矛盾，稳定社会秩序。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(2)赋税制度的宗旨是保证国家财政，维护政治统治。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(3)赋税制度的变革影响社会经济的发展。</w:t>
      </w:r>
    </w:p>
    <w:p>
      <w:pPr>
        <w:pStyle w:val="5"/>
        <w:tabs>
          <w:tab w:val="left" w:pos="4620"/>
        </w:tabs>
        <w:spacing w:line="312" w:lineRule="auto"/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drawing>
          <wp:inline distT="0" distB="0" distL="114300" distR="114300">
            <wp:extent cx="5331460" cy="574675"/>
            <wp:effectExtent l="0" t="0" r="2540" b="15875"/>
            <wp:docPr id="94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5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3146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tabs>
          <w:tab w:val="left" w:pos="4620"/>
        </w:tabs>
        <w:snapToGrid w:val="0"/>
        <w:spacing w:line="312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1．西汉王朝建立不久，朝廷将田赋从秦时“泰半之赋”减至十五税一，之后又减至三十税一，甚至一度“除田之租税”。汉初实行轻徭薄赋政策的主要原因是(　  　)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A．农民生活极贫困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B．汉初财政较宽裕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C．统治者开明政策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D．鉴于秦灭亡教训</w:t>
      </w:r>
    </w:p>
    <w:p>
      <w:pPr>
        <w:pStyle w:val="8"/>
        <w:tabs>
          <w:tab w:val="left" w:pos="4620"/>
        </w:tabs>
        <w:snapToGrid w:val="0"/>
        <w:spacing w:line="312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2．史学家钱穆先生说：“租庸调制的精神，不仅在于轻徭薄赋，而尤重为民制产。”下列对“租庸调制”解读正确的是(　  　)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A．“调”是指缴纳一定量的谷物   B．“租”是指缴纳一定量的绢和布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C．“庸”是指缴纳一定的银子代役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D．在租庸调制下农民生产时间具有一定的保证</w:t>
      </w:r>
    </w:p>
    <w:p>
      <w:pPr>
        <w:pStyle w:val="8"/>
        <w:tabs>
          <w:tab w:val="left" w:pos="4620"/>
        </w:tabs>
        <w:snapToGrid w:val="0"/>
        <w:spacing w:line="312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3．唐朝实行租庸调制，要求成年男子：向官府缴纳定量的谷物、定量的绢和布、不去服徭役的纳绢和布代役。1581年，明朝张居正改革：将原来的田赋、徭役、杂税，“并为一条”，折成银两，把从前按户、丁征收的役银，分摊在田亩上，按人丁和田亩的多寡来分担。雍正帝时，则实行“摊丁入亩”，把丁税平均摊入田赋中，征收统一的地丁银。这反映了(　  　)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A．纳税个体的扩大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B．人民负担的减轻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C．征税依据的变化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D．商品经济的发展</w:t>
      </w:r>
    </w:p>
    <w:p>
      <w:pPr>
        <w:pStyle w:val="8"/>
        <w:tabs>
          <w:tab w:val="left" w:pos="4620"/>
        </w:tabs>
        <w:snapToGrid w:val="0"/>
        <w:spacing w:line="312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4．《剑桥中国晚清史》载：19世纪90年代初期，清中央政府年收入田赋25 088 000库平银，关税21 989 000库平银，关税成为仅次于田赋的第二大收入来源。这表明当时中国(　 　)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A．工业文明已成主流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B．逐渐卷入世界市场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C．告别小农经济时代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D．贸易逆差得以扭转</w:t>
      </w:r>
    </w:p>
    <w:p>
      <w:pPr>
        <w:pStyle w:val="8"/>
        <w:tabs>
          <w:tab w:val="left" w:pos="4620"/>
        </w:tabs>
        <w:snapToGrid w:val="0"/>
        <w:spacing w:line="312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5．据美国历史学家费正清统计，1753年清政府国库收入的74%来自田赋，而1908年田赋只占35%。同时期国内贸易的税收和关税收入占比大幅度提升。税收结构的变化反映了，晚清(　  　)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A．自然经济趋向解体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B．民族工业成就巨大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C．延续重农抑商政策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D．逐步恢复关税主权</w:t>
      </w:r>
    </w:p>
    <w:p>
      <w:pPr>
        <w:pStyle w:val="8"/>
        <w:tabs>
          <w:tab w:val="left" w:pos="4620"/>
        </w:tabs>
        <w:snapToGrid w:val="0"/>
        <w:spacing w:line="312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6．南京国民政府关税自主谈判后，中国关税收入和关税收入在中央财政总收入中的比重有了明显增加。这表明关税自主(　  　)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A．有助于南京国民政府稳定财政  B．是中国人民捍卫经济主权的终结</w:t>
      </w:r>
    </w:p>
    <w:p>
      <w:pPr>
        <w:pStyle w:val="8"/>
        <w:tabs>
          <w:tab w:val="left" w:pos="4620"/>
        </w:tabs>
        <w:snapToGrid w:val="0"/>
        <w:spacing w:line="312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C．阻碍了民族资本主义经济发展  D．摆脱了西方资本主义的经济侵略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60322A"/>
    <w:rsid w:val="08A25069"/>
    <w:rsid w:val="133E3D03"/>
    <w:rsid w:val="22940E36"/>
    <w:rsid w:val="38E9415D"/>
    <w:rsid w:val="3C88349F"/>
    <w:rsid w:val="5CE836AB"/>
    <w:rsid w:val="612B6CB5"/>
    <w:rsid w:val="615B6165"/>
    <w:rsid w:val="632050DE"/>
    <w:rsid w:val="69107750"/>
    <w:rsid w:val="6BC00CA7"/>
    <w:rsid w:val="71B83465"/>
    <w:rsid w:val="7246429B"/>
    <w:rsid w:val="745E3307"/>
    <w:rsid w:val="74A41F9D"/>
    <w:rsid w:val="7A84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7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&#30693;&#35782;&#26803;&#29702;a.TIF" TargetMode="Externa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&#35838;&#26631;&#35201;&#27714;a.tif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&#38543;&#22530;&#28436;&#32451;a.TIF" TargetMode="External"/><Relationship Id="rId16" Type="http://schemas.openxmlformats.org/officeDocument/2006/relationships/image" Target="media/image8.png"/><Relationship Id="rId15" Type="http://schemas.openxmlformats.org/officeDocument/2006/relationships/image" Target="&#25299;&#23637;d.TIF" TargetMode="Externa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&#39044;&#20064;&#33258;&#27979;.tif" TargetMode="External"/><Relationship Id="rId11" Type="http://schemas.openxmlformats.org/officeDocument/2006/relationships/image" Target="media/image5.png"/><Relationship Id="rId10" Type="http://schemas.openxmlformats.org/officeDocument/2006/relationships/image" Target="CC4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4503</Words>
  <Characters>4648</Characters>
  <Lines>0</Lines>
  <Paragraphs>0</Paragraphs>
  <TotalTime>0</TotalTime>
  <ScaleCrop>false</ScaleCrop>
  <LinksUpToDate>false</LinksUpToDate>
  <CharactersWithSpaces>4727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2021-02-13T05:36:00Z</dcterms:created>
  <dc:creator>Administrator</dc:creator>
  <cp:lastModifiedBy>Administrator</cp:lastModifiedBy>
  <dcterms:modified xsi:type="dcterms:W3CDTF">2021-02-17T06:15:36Z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